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https://gostir-rzgow.bip.wikom.pl/strona/strona-glowna</w:t>
            </w:r>
          </w:p>
          <w:p>
            <w:pPr/>
            <w:r>
              <w:rPr/>
              <w:t xml:space="preserve">https://gostir-rzgow.bip.wikom.pl/strona/kontrole</w:t>
            </w:r>
          </w:p>
          <w:p>
            <w:pPr/>
            <w:r>
              <w:rPr/>
              <w:t xml:space="preserve">https://gostir-rzgow.bip.wikom.pl/strona/ponowne-wykorzystywanie</w:t>
            </w:r>
          </w:p>
          <w:p>
            <w:pPr/>
            <w:r>
              <w:rPr/>
              <w:t xml:space="preserve">https://gostir-rzgow.bip.wikom.pl/strona/ochrona-danych-osobowych</w:t>
            </w:r>
          </w:p>
          <w:p>
            <w:pPr/>
            <w:r>
              <w:rPr/>
              <w:t xml:space="preserve">https://gostir-rzgow.bip.wikom.pl/strona/standardy-ochrony-maloletnich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2025-03-31T10:17:46+00:00</dcterms:created>
  <dcterms:modified xsi:type="dcterms:W3CDTF">2025-03-31T10:17:46+00:00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